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53" w:rsidRPr="00CD4653" w:rsidRDefault="00CD4653" w:rsidP="00CD4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Федеральные государственные требования </w:t>
      </w:r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к минимуму содержания, структуре, условиям реализации дополнительных </w:t>
      </w:r>
      <w:proofErr w:type="spellStart"/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предпрофессиональных</w:t>
      </w:r>
      <w:proofErr w:type="spellEnd"/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программ в области физической культуры и спорта и к срокам </w:t>
      </w:r>
      <w:proofErr w:type="gramStart"/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обучения по</w:t>
      </w:r>
      <w:proofErr w:type="gramEnd"/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этим программам</w:t>
      </w:r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4" w:anchor="0" w:history="1">
        <w:r w:rsidRPr="00CD465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>Минспорта</w:t>
      </w:r>
      <w:proofErr w:type="spellEnd"/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РФ от 12 сентября № 730)</w:t>
      </w:r>
    </w:p>
    <w:p w:rsidR="00CD4653" w:rsidRPr="00CD4653" w:rsidRDefault="00CD4653" w:rsidP="00CD4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4653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1. Предметом настоящего документа является установление требований к минимуму содержания, структуре, условиям реализации дополнительных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этим программам образовательными организациями, осуществляющими деятельность в области физической культуры и спорта (далее - образовательные организации), </w:t>
      </w:r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4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наличии соответствующей лицензии на осуществление образовательной деятельности.</w:t>
      </w:r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 Настоящие федеральные государственные требования (далее - ФГТ) используются при реализации дополнительных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программ (далее - Программы) по следующим видам спорта (далее - избранные виды спорта):</w:t>
      </w:r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>По игровым видам спорта (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айсшток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бадминтон, бильярдный спорт, </w:t>
      </w:r>
      <w:hyperlink r:id="rId5" w:tgtFrame="_blank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боулинг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го, гольф, городошный спорт, </w:t>
      </w:r>
      <w:hyperlink r:id="rId6" w:tgtFrame="_blank" w:history="1">
        <w:proofErr w:type="spellStart"/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дартс</w:t>
        </w:r>
        <w:proofErr w:type="spellEnd"/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кёрлинг, настольный теннис,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перетягивание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каната,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петанк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сквош, спортивный бридж, теннис, шахматы, шашки) в соответствии с </w:t>
      </w:r>
      <w:hyperlink r:id="rId7" w:anchor="20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II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настоящих ФГТ.</w:t>
      </w:r>
      <w:proofErr w:type="gramEnd"/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По командным игровым видам спорта (американский футбол, баскетбол, бейсбол, водное поло, волейбол, гандбол,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корфбол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регби,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регбол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русская лапта, софтбол,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флорбол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футбол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хоккей, хоккей на траве, хоккей с мячом) в соответствии с </w:t>
      </w:r>
      <w:hyperlink r:id="rId9" w:anchor="30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III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настоящих ФГТ.</w:t>
      </w:r>
      <w:proofErr w:type="gramEnd"/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По спортивным единоборствам (айкидо,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армспорт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бокс, борьба на поясах, восточное боевое единоборство, джиу-джитсу, дзюдо,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капоэйра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каратэ,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кикбоксинг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корэш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рукопашный бой,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сават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самбо, смешанное боевое единоборство (ММА), спортивная борьба,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сумо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тайский бокс,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тхэквондо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универсальный бой, ушу, фехтование) в соответствии с </w:t>
      </w:r>
      <w:hyperlink r:id="rId10" w:anchor="40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IV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настоящих ФГТ.</w:t>
      </w:r>
      <w:proofErr w:type="gramEnd"/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4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2.4. По сложно-координационным видам спорта (акробатический рок-н-ролл, бодибилдинг, прыжки в воду, прыжки на батуте, синхронное плавание, спортивная акробатика, спортивная аэробика, спортивная гимнастика, танцевальный спорт, фигурное катание на коньках, фитнес-аэробика, художественная гимнастика, </w:t>
      </w:r>
      <w:proofErr w:type="spellStart"/>
      <w:r w:rsidRPr="00CD4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черлидинг</w:t>
      </w:r>
      <w:proofErr w:type="spellEnd"/>
      <w:r w:rsidRPr="00CD4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эстетическая гимнастика) в соответствии с </w:t>
      </w:r>
      <w:hyperlink r:id="rId11" w:anchor="500" w:history="1">
        <w:r w:rsidRPr="00CD465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главой V</w:t>
        </w:r>
      </w:hyperlink>
      <w:r w:rsidRPr="00CD4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настоящих ФГТ.</w:t>
      </w:r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По циклическим, скоростно-силовым видам спорта и многоборьям (биатлон, бобслей,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велоспорт-ВМХ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велоспорт-маутинбайк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велоспорт-трек, велоспорт-шоссе, гиревой спорт, горнолыжный спорт, гребля на байдарках и каноэ, гребной слалом, гребной спорт, конькобежный спорт, легкая атлетика, лыжное двоеборье, лыжные гонки, пауэрлифтинг, плавание,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полиатлон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прыжки на лыжах с трамплина, роллер спорт, санный спорт,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скейтбординг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сноуборд, современное пятиборье, триатлон, тяжелая атлетика, фристайл) в соответствии с </w:t>
      </w:r>
      <w:hyperlink r:id="rId12" w:anchor="60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VI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настоящих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ФГТ.</w:t>
      </w:r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2.6. По видам спорта с использованием животных, участвующих в спортивных соревнованиях (ездовой спорт, кинологический спорт, конный спорт, спортивно-прикладное собаководство), в соответствии с </w:t>
      </w:r>
      <w:hyperlink r:id="rId13" w:anchor="70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VII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настоящих ФГТ.</w:t>
      </w:r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По адаптивным видам спорта (спорт глухих, спорт лиц с интеллектуальными нарушениями, спорт лиц с поражением ОДА (опорно-двигательного аппарата), спорт слепых, </w:t>
      </w:r>
      <w:hyperlink r:id="rId14" w:tgtFrame="_blank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футбол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лиц с заболеванием ЦП (церебрального паралича) в соответствии с </w:t>
      </w:r>
      <w:hyperlink r:id="rId15" w:anchor="80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VIII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настоящих ФГТ.</w:t>
      </w:r>
      <w:proofErr w:type="gramEnd"/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2.8. По национальным видам спорта (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керешу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мас-рестлинг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хапсагай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якутские национальные прыжки) в соответствии с </w:t>
      </w:r>
      <w:hyperlink r:id="rId16" w:anchor="90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IX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ФГТ.</w:t>
      </w:r>
    </w:p>
    <w:p w:rsidR="00CD4653" w:rsidRPr="00CD4653" w:rsidRDefault="00CD4653" w:rsidP="00CD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По служебно-прикладным и военно-прикладным (армейский рукопашный бой, военно-прикладной спорт, военно-спортивное многоборье, гребля на шлюпках,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гребно-парусное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двоеборье, комплексное единоборство, международное военно-спортивное многоборье, многоборье спасателей МЧС России, пожарно-прикладной спорт, служебно-прикладной спорт ФСО России, служебно-прикладной спорт ГФС России, служебно-прикладной спорт ФСКН России, служебно-прикладной спорт ФТС России, спасательный спорт, стрельба из штатного или табельного оружия), спортивно-техническим </w:t>
      </w:r>
      <w:r w:rsidRPr="00CD4653">
        <w:rPr>
          <w:rFonts w:ascii="Times New Roman" w:eastAsia="Times New Roman" w:hAnsi="Times New Roman" w:cs="Times New Roman"/>
          <w:sz w:val="24"/>
          <w:szCs w:val="24"/>
        </w:rPr>
        <w:lastRenderedPageBreak/>
        <w:t>(авиамодельный спорт, автомодельный спорт, радиоспорт, судомодельный спорт), стрелковым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стрельба, пулевая стрельба,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пэйнтбол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, стендовая стрельба, стрельба из арбалета, стрельба из лука), а также видам спорта, осуществляемым в природной среде (автомобильный спорт, альпинизм, вертолетный спорт, водно-моторный спорт, воднолыжный спорт, воздухоплавательный спорт, морское многоборье, мотоциклетный спорт, парашютный спорт, парусный спорт, планерный спорт, подводный спорт, </w:t>
      </w:r>
      <w:proofErr w:type="spellStart"/>
      <w:r w:rsidRPr="00CD4653">
        <w:rPr>
          <w:rFonts w:ascii="Times New Roman" w:eastAsia="Times New Roman" w:hAnsi="Times New Roman" w:cs="Times New Roman"/>
          <w:sz w:val="24"/>
          <w:szCs w:val="24"/>
        </w:rPr>
        <w:t>рафтинг</w:t>
      </w:r>
      <w:proofErr w:type="spellEnd"/>
      <w:r w:rsidRPr="00CD4653">
        <w:rPr>
          <w:rFonts w:ascii="Times New Roman" w:eastAsia="Times New Roman" w:hAnsi="Times New Roman" w:cs="Times New Roman"/>
          <w:sz w:val="24"/>
          <w:szCs w:val="24"/>
        </w:rPr>
        <w:t>, рыболовный спорт, самолетный спорт, северное многоборье, скалолазание, спорт сверхлегкой авиации, спортивное ориентирование, спортивный туризм) в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hyperlink r:id="rId17" w:anchor="1010" w:history="1">
        <w:r w:rsidRPr="00CD46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X</w:t>
        </w:r>
      </w:hyperlink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 ФГТ.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3. Программы, разрабатываемые образовательной организацией, должны соответствовать настоящим ФГТ и учитывать: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требования федеральных стандартов спортивной подготовки по избранным видам спорта (за исключением национальных, служебно-прикладных и военно-прикладных видов спорта);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>- возрастные и индивидуальные особенности обучающихся при занятиях избранным видом спорта.</w:t>
      </w:r>
      <w:proofErr w:type="gramEnd"/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4. Основными задачами реализации Программы являются: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 xml:space="preserve">5. Программы должны быть направлены </w:t>
      </w:r>
      <w:proofErr w:type="gramStart"/>
      <w:r w:rsidRPr="00CD46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D46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отбор одаренных детей;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CD4653" w:rsidRPr="00CD4653" w:rsidRDefault="00CD4653" w:rsidP="00CD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653">
        <w:rPr>
          <w:rFonts w:ascii="Times New Roman" w:eastAsia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CD4653" w:rsidRDefault="00CD4653" w:rsidP="00CD46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95DE7" w:rsidRPr="00395DE7" w:rsidRDefault="00395DE7" w:rsidP="00395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5DE7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к минимуму содержания Программ по сложно-координационным видам спорта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15. Программы по сложно-координационным видам спорта, указанным в </w:t>
      </w:r>
      <w:hyperlink r:id="rId18" w:anchor="204" w:history="1">
        <w:r w:rsidRPr="00395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2.4</w:t>
        </w:r>
      </w:hyperlink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5DE7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gramEnd"/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 ФГТ, должны: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1) содержать следующие предметные области: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теория и методика физической культуры и спорта;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общая физическая подготовка,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избранный вид спорта;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хореография и (или) акробатика.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2) учитывать особенности подготовки </w:t>
      </w:r>
      <w:proofErr w:type="gramStart"/>
      <w:r w:rsidRPr="00395DE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 по избранным видам спорта, в том числе: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овладение новыми, сверхсложными оригинальными упражнениями;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обеспечение стабильного результата на основных спортивных соревнованиях с учетом соответствия соревновательных программ и (или) композиций требованиям, предусмотренным правилами по видам спорта;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применение методов сопряженных воздействий, высоких по объему и интенсивности тренировочных нагрузок с целью формирования такого уровня специальной выносливости, который значительно превышает потребность в соревновательной деятельности;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lastRenderedPageBreak/>
        <w:t>-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постоянную готовность к соревновательной деятельности в течение всего годичного цикла.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16. Результатом освоения Программ по сложно-координационным видам спорта является приобретение обучающимися следующих знаний, умений и навыков в предметных областях: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16.1. в области теории и методики физической культуры и спорта: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история развития избранного вида спорта;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место и роль физической культуры и спорта в современном обществе;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основы спортивной подготовки и тренировочного процесса;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DE7">
        <w:rPr>
          <w:rFonts w:ascii="Times New Roman" w:eastAsia="Times New Roman" w:hAnsi="Times New Roman" w:cs="Times New Roman"/>
          <w:sz w:val="24"/>
          <w:szCs w:val="24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необходимые сведения о строении и функциях организма человека;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гигиенические знания, умения и навыки;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режим дня, закаливание организма, здоровый образ жизни;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основы спортивного питания;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требования к оборудованию, инвентарю и спортивной экипировке;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требования техники безопасности при занятиях избранным видом спорта.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16.2. в области общей и специальной физической подготовки: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освоение комплексов физических упражнений;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сложно-координационных видов спорта;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16.3. в области избранного вида спорта: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повышение уровня специальной физической и функциональной подготовленности;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овладение основами техники и тактики в избранном виде спорта;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приобретение соревновательного опыта путем участия в спортивных соревнованиях;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развитие специальных физических (двигательных) и психологических качеств;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повышение уровня функциональной подготовленности;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16.4. в области хореографии и (или) акробатики: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знание профессиональной терминологии;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умение определять средства музыкальной выразительности;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умение соблюдать требования техники безопасности при самостоятельном выполнении упражнений;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навыки музыкальности, пластичности, выразительности, артистичности, импровизации;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навыки сохранения собственной физической формы;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навыки публичных выступлений.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В процессе реализации Программ по сложно-координационным видам спорта необходимо предусмотреть следующее соотношение объемов </w:t>
      </w:r>
      <w:proofErr w:type="gramStart"/>
      <w:r w:rsidRPr="00395DE7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 предметным областям по отношению к общему объему учебного плана: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DE7">
        <w:rPr>
          <w:rFonts w:ascii="Times New Roman" w:eastAsia="Times New Roman" w:hAnsi="Times New Roman" w:cs="Times New Roman"/>
          <w:sz w:val="24"/>
          <w:szCs w:val="24"/>
        </w:rPr>
        <w:t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  <w:proofErr w:type="gramEnd"/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теоретическая подготовка в объеме от 5% до 10% от общего объема учебного плана;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общая и специальная физическая подготовка в объеме от 15% до 25% от общего объема учебного плана;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избранный вид спорта не менее 45% от общего объема учебного плана;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хореография и (или) акробатика в объеме от 20% до 25% от общего объема учебного плана;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5DE7"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обучающихся в пределах до 10% от общего объема учебного плана;</w:t>
      </w:r>
      <w:proofErr w:type="gramEnd"/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возможности посещений </w:t>
      </w:r>
      <w:proofErr w:type="gramStart"/>
      <w:r w:rsidRPr="00395DE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95DE7">
        <w:rPr>
          <w:rFonts w:ascii="Times New Roman" w:eastAsia="Times New Roman" w:hAnsi="Times New Roman" w:cs="Times New Roman"/>
          <w:sz w:val="24"/>
          <w:szCs w:val="24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организацию совместных мероприятий с другими образовательными и физкультурно-спортивными организациями;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организацию показательных выступлений обучающихся;</w:t>
      </w:r>
    </w:p>
    <w:p w:rsidR="00395DE7" w:rsidRPr="00395DE7" w:rsidRDefault="00395DE7" w:rsidP="0039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sz w:val="24"/>
          <w:szCs w:val="24"/>
        </w:rP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395DE7" w:rsidRPr="00395DE7" w:rsidRDefault="00395DE7" w:rsidP="00395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395DE7" w:rsidRPr="00395DE7" w:rsidTr="00395DE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395DE7" w:rsidRPr="00395DE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95DE7" w:rsidRPr="00395DE7" w:rsidRDefault="00395DE7" w:rsidP="00395DE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XI. Требования к структуре Программы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 Программа должна иметь следующую структуру: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титульный лист;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пояснительную записку;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учебный план;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методическую часть;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систему контроля и зачетные требования;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перечень информационного обеспечения.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34.1. На титульном листе Программы указывается: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наименование Программы;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наименование образовательной организации, реализующей Программу;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срок реализации Программы;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фамилия, имя, отчество (при наличии) разработчик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ков) Программы;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фамилия, имя, отчество (при наличии) не менее двух рецензентов Программы;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населенный пункт, в котором находится образовательная организация;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год составления Программы.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34.2.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34.3. Учебный план Программы должен содержать: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продолжительность и объемы реализации Программы по предметным областям;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навыки в других видах спорта, способствующие повышению профессионального мастерства в избранном;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34.4. Методическая часть Программы включает в себя: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содержание и методику работы по предметным областям, этапам (периодам) подготовки;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требования техники безопасности в процессе реализации Программы;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объемы максимальных тренировочных нагрузок.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34.5. Система контроля и зачетные требования Программы должны включать: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комплексы контрольных упражнений для оценки результатов освоения Программы;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методические указания по организации промежуточной (после каждого этапа (периода) </w:t>
                  </w: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обучения) и итоговой (после освоения Программы) аттестации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требования к результатам освоения Программы, выполнение которых дает основание для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перевода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обучающегося в дальнейшем на программу спортивной подготовки.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проведении промежуточной и итоговой аттестации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учитываются результаты освоения Программы по каждой предметной области. Форма проведения промежуточной и итоговой аттестации определяется образовательной организацией.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34.6. Перечень информационного обеспечения Программы должен включать: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список литературы, содержащий не менее 10 источников;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перечень аудиовизуальных средств с учетом специфики избранного вида спорта (дисциплины);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перечень Интернет-ресурсов, необходимых для использования в образовательном процессе.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XII. Требования к условиям реализации Программы и срокам обучения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 ФГТ устанавливают следующие требования к условиям реализации Программы: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 образовательному и тренировочному процессу;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 методическим, кадровым, финансовым, материально-техническим и иным условиям реализации Программы с целью достижения планируемых результатов ее освоения.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 Организация занятий по Программе осуществляется по следующим этапам (периодам) подготовки: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этап начальной подготовки - до 3 лет.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ренировочный этап (период базовой подготовки) - до 2 лет.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ренировочный этап (период спортивной специализации) - до 3 лет.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этап совершенствования спортивного мастерства - до 2 лет.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 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этапе (спортивной специализации).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38. Срок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обучения по Программе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зависимости от избранного вида спорта - от 6 до 10 лет.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организация имеет право реализовывать Программу в сокращенные сроки.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(по национальным и адаптивным видам спорта) и не менее на 42 недели (по остальным избранным видам спорта), в котором предусматриваются: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график (расписание) тренировочных занятий в течение недели;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занятия по предметным областям (в том числе, проводимые по группам, подгруппам и индивидуально);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минимум один тренировочный сбор продолжительностью от 14 до 21 дня (без учета проезда к месту проведения тренировочных сборов и обратно);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участие в соревнованиях;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самостоятельная работа обучающихся, контролируемая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формы);</w:t>
                  </w:r>
                  <w:proofErr w:type="gramEnd"/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промежуточная (итоговая) аттестация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 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специалистов, имеющих высшее образование, должна составлять не менее 25% от общего числа специалистов, обеспечивающих образовательный процесс по Программе.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 10% от общего числа специалистов, которые должны иметь высшее образование, может быть заменено тренерами-преподавателями, хореографами и другими специалистами, имеющими среднее профессиональное образование и государственные </w:t>
                  </w: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Специфика избранных видов спорта предусматривает возможность участия в реализации Программы специалистов, имеющих высшее образование по инженерным и военным специальностям, при условии прохождения ими профессиональной переподготовки.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41.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психологи, тренеры-лидеры, </w:t>
                  </w:r>
                  <w:proofErr w:type="spell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сурдопереводчики</w:t>
                  </w:r>
                  <w:proofErr w:type="spell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иные специалисты при условии их одновременной с основным тренером-преподавателем работы с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 При реализации Программы по видам спорта, правилами по которым предусмотрено исполнение соревновательных композиций под музыку, должно быть предусмотрено музыкальное сопровождение.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 Минимально необходимый для реализации Программы перечень помещений, специализированных кабинетов и материально-технического обеспечения включает в себя: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спортивное сооружение с учетом требований федерального стандарта спортивной подготовки по избранному виду спорта (за исключением национальных, служебно-прикладных и военно-прикладных видов спорта);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помещения для работы со специализированными материалами (фонотеку, видеотеку, фильмотеку и другие);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раздевалки и душевые для обучающихся и специалистов.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наличии в Программе хореографической подготовки: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хореографический зал площадью не менее 75 кв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 расчета на 12-14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зеркала, расположенные от уровня пола на высоту не менее 2 м.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наличии в Программе акробатической подготовки: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места для выполнения обучающимися акробатических упражнений, оборудованные гимнастическими матами, спортивными снарядами и тренажерами, а также приспособлениями для страховки занимающихся.</w:t>
                  </w:r>
                  <w:proofErr w:type="gramEnd"/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служебно-прикладных, военно-прикладных, национальных, а также видов спорта, осуществляемых в природной среде, при реализации Программы используется место проведения тренировочных занятий, соответствующее правилам проведения спортивных соревнований по избранному виду спорта.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45. Непрерывность освоения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Программы в каникулярный период обеспечивается следующим образом: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физкультурно-спортивных или спортивно-оздоровительных лагерях (центрах), а также в спортивно-образовательных центрах;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участием обучающихся в тренировочных сборах, проводимых образовательными организациями и иными физкультурно-спортивными организациями;</w:t>
                  </w:r>
                  <w:proofErr w:type="gramEnd"/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самостоятельная работа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индивидуальным планам подготовки.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review"/>
                  <w:bookmarkEnd w:id="0"/>
                  <w:r w:rsidRPr="00395D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Обзор документа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Утверждены Федеральные </w:t>
                  </w:r>
                  <w:proofErr w:type="spell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гостребования</w:t>
                  </w:r>
                  <w:proofErr w:type="spell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минимуму содержания, структуре, условиям реализации дополнительных </w:t>
                  </w:r>
                  <w:proofErr w:type="spell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предпрофессиональных</w:t>
                  </w:r>
                  <w:proofErr w:type="spell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программ в области физкультуры и спорта и к срокам 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обучения по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этим программам.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Речь идет об обучении организациями, осуществляющими деятельность в области физкультуры и спорта, при наличии соответствующей лицензии.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Требования используются при реализации программ по игровым, командным игровым, сложно-координационным, адаптивным, национальным, </w:t>
                  </w:r>
                  <w:proofErr w:type="spell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служебн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военно-прикладным, </w:t>
                  </w: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циклическим, скоростно-силовым видам спорта и многоборьям, по спортивным единоборствам, по видам спорта с использованием животных.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Разрабатываемые образовательной организацией программы должны учитывать требования федеральных стандартов подготовки по избранным видам спорта (кроме национальных, </w:t>
                  </w:r>
                  <w:proofErr w:type="spell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служебн</w:t>
                  </w: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военно-прикладных), а также возрастные и индивидуальные особенности обучающихся.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Программы должны быть направлены на отбор одаренных детей, создание условий для их физического образования, воспитания и развития, формирование знаний, умений, навыков в области физкультуры и спорта, подготовку к освоению этапов спортивной подготовки, подготовку к поступлению в организации, реализующие профессиональные образовательные программы в указанной сфере, организацию досуга и формирование потребности в поддержании здорового образа жизни.</w:t>
                  </w:r>
                  <w:proofErr w:type="gramEnd"/>
                </w:p>
                <w:p w:rsidR="00395DE7" w:rsidRPr="00395DE7" w:rsidRDefault="00395DE7" w:rsidP="00395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Программа должна содержать титульный лист, пояснительную записку, учебный план, методическую часть, систему контроля и зачетные требования, перечень информационного обеспечения.</w:t>
                  </w:r>
                </w:p>
                <w:p w:rsidR="00395DE7" w:rsidRPr="00395DE7" w:rsidRDefault="00395DE7" w:rsidP="00395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D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занятий осуществляется по следующим этапам (периодам) подготовки: этап начальной подготовки - до 3 лет, тренировочный этап (период базовой подготовки) - до 2 лет, тренировочный этап (период спортивной специализации) - до 3 лет, этап совершенствования спортивного мастерства - до 2 лет.</w:t>
                  </w:r>
                </w:p>
              </w:tc>
            </w:tr>
            <w:tr w:rsidR="00395DE7" w:rsidRPr="00395DE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395DE7" w:rsidRPr="00395DE7" w:rsidRDefault="00395DE7" w:rsidP="0039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1750" cy="31750"/>
                        <wp:effectExtent l="19050" t="0" r="6350" b="0"/>
                        <wp:docPr id="1" name="Рисунок 1" descr="http://www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750" cy="31750"/>
                        <wp:effectExtent l="19050" t="0" r="6350" b="0"/>
                        <wp:docPr id="2" name="Рисунок 2" descr="http://www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DE7" w:rsidRPr="00395DE7" w:rsidRDefault="00395DE7" w:rsidP="0039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DE7" w:rsidRPr="00395DE7" w:rsidTr="00395DE7">
        <w:trPr>
          <w:tblCellSpacing w:w="0" w:type="dxa"/>
        </w:trPr>
        <w:tc>
          <w:tcPr>
            <w:tcW w:w="0" w:type="auto"/>
            <w:vAlign w:val="center"/>
            <w:hideMark/>
          </w:tcPr>
          <w:p w:rsidR="00395DE7" w:rsidRPr="00395DE7" w:rsidRDefault="00395DE7" w:rsidP="0039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053" w:rsidRDefault="00845053" w:rsidP="00395DE7">
      <w:pPr>
        <w:shd w:val="clear" w:color="auto" w:fill="FFFFFF"/>
        <w:spacing w:after="0" w:line="240" w:lineRule="auto"/>
      </w:pPr>
    </w:p>
    <w:sectPr w:rsidR="00845053" w:rsidSect="00395DE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5DE7"/>
    <w:rsid w:val="00395DE7"/>
    <w:rsid w:val="00845053"/>
    <w:rsid w:val="008D1A4F"/>
    <w:rsid w:val="00C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5DE7"/>
    <w:rPr>
      <w:color w:val="0000FF"/>
      <w:u w:val="single"/>
    </w:rPr>
  </w:style>
  <w:style w:type="paragraph" w:customStyle="1" w:styleId="textreview">
    <w:name w:val="text_review"/>
    <w:basedOn w:val="a"/>
    <w:rsid w:val="0039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5D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.ru/reg/14974/product/children/futbol-villa-kubok-chempionov-96-h-60-h-68-sm-2010108007779" TargetMode="External"/><Relationship Id="rId13" Type="http://schemas.openxmlformats.org/officeDocument/2006/relationships/hyperlink" Target="http://www.garant.ru/products/ipo/prime/doc/70426902/" TargetMode="External"/><Relationship Id="rId18" Type="http://schemas.openxmlformats.org/officeDocument/2006/relationships/hyperlink" Target="http://www.garant.ru/products/ipo/prime/doc/7042690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arant.ru/products/ipo/prime/doc/70426902/" TargetMode="External"/><Relationship Id="rId12" Type="http://schemas.openxmlformats.org/officeDocument/2006/relationships/hyperlink" Target="http://www.garant.ru/products/ipo/prime/doc/70426902/" TargetMode="External"/><Relationship Id="rId17" Type="http://schemas.openxmlformats.org/officeDocument/2006/relationships/hyperlink" Target="http://www.garant.ru/products/ipo/prime/doc/704269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42690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stavka.ru/Dartboard-Electronic-389-id_6773205?partner_id=admitad&amp;utm_source=admitad&amp;utm_medium=cpa&amp;utm_campaign=&amp;utm_content=6773205" TargetMode="External"/><Relationship Id="rId11" Type="http://schemas.openxmlformats.org/officeDocument/2006/relationships/hyperlink" Target="http://www.garant.ru/products/ipo/prime/doc/70426902/" TargetMode="External"/><Relationship Id="rId5" Type="http://schemas.openxmlformats.org/officeDocument/2006/relationships/hyperlink" Target="http://www.enter.ru/reg/14974/product/children/bouling-ks-kids-2010105012271" TargetMode="External"/><Relationship Id="rId15" Type="http://schemas.openxmlformats.org/officeDocument/2006/relationships/hyperlink" Target="http://www.garant.ru/products/ipo/prime/doc/70426902/" TargetMode="External"/><Relationship Id="rId10" Type="http://schemas.openxmlformats.org/officeDocument/2006/relationships/hyperlink" Target="http://www.garant.ru/products/ipo/prime/doc/70426902/" TargetMode="External"/><Relationship Id="rId19" Type="http://schemas.openxmlformats.org/officeDocument/2006/relationships/image" Target="media/image1.gif"/><Relationship Id="rId4" Type="http://schemas.openxmlformats.org/officeDocument/2006/relationships/hyperlink" Target="http://www.garant.ru/products/ipo/prime/doc/70426902/" TargetMode="External"/><Relationship Id="rId9" Type="http://schemas.openxmlformats.org/officeDocument/2006/relationships/hyperlink" Target="http://www.garant.ru/products/ipo/prime/doc/70426902/" TargetMode="External"/><Relationship Id="rId14" Type="http://schemas.openxmlformats.org/officeDocument/2006/relationships/hyperlink" Target="http://www.enter.ru/reg/14974/product/children/futbol-villa-kubok-chempionov-96-h-60-h-68-sm-2010108007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ACROBAT</Company>
  <LinksUpToDate>false</LinksUpToDate>
  <CharactersWithSpaces>23943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2014-02-11T10:08:00Z</cp:lastPrinted>
  <dcterms:created xsi:type="dcterms:W3CDTF">2014-02-11T09:57:00Z</dcterms:created>
  <dcterms:modified xsi:type="dcterms:W3CDTF">2014-02-11T10:11:00Z</dcterms:modified>
</cp:coreProperties>
</file>