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-828" w:topFromText="0" w:vertAnchor="margin"/>
        <w:tblW w:w="5000" w:type="pct"/>
        <w:jc w:val="left"/>
        <w:tblInd w:w="120" w:type="dxa"/>
        <w:tblLayout w:type="fixed"/>
        <w:tblCellMar>
          <w:top w:w="0" w:type="dxa"/>
          <w:left w:w="120" w:type="dxa"/>
          <w:bottom w:w="0" w:type="dxa"/>
          <w:right w:w="120" w:type="dxa"/>
        </w:tblCellMar>
        <w:tblLook w:firstRow="1" w:noVBand="1" w:lastRow="0" w:firstColumn="1" w:lastColumn="0" w:noHBand="0" w:val="04a0"/>
      </w:tblPr>
      <w:tblGrid>
        <w:gridCol w:w="14570"/>
      </w:tblGrid>
      <w:tr>
        <w:trPr>
          <w:trHeight w:val="8527" w:hRule="atLeast"/>
        </w:trPr>
        <w:tc>
          <w:tcPr>
            <w:tcW w:w="14570" w:type="dxa"/>
            <w:tcBorders>
              <w:top w:val="threeDEmboss" w:sz="24" w:space="0" w:color="C00000"/>
              <w:left w:val="threeDEmboss" w:sz="24" w:space="0" w:color="C00000"/>
              <w:bottom w:val="threeDEmboss" w:sz="24" w:space="0" w:color="C00000"/>
              <w:right w:val="threeDEmboss" w:sz="24" w:space="0" w:color="C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Autospacing="1"/>
              <w:jc w:val="center"/>
              <w:outlineLvl w:val="1"/>
              <w:rPr>
                <w:rFonts w:ascii="Verdana" w:hAnsi="Verdana" w:eastAsia="Times New Roman" w:cs="Times New Roman"/>
                <w:color w:val="C2004E"/>
                <w:sz w:val="34"/>
                <w:szCs w:val="34"/>
              </w:rPr>
            </w:pPr>
            <w:r>
              <w:rPr/>
              <w:drawing>
                <wp:inline distT="0" distB="0" distL="0" distR="0">
                  <wp:extent cx="3624580" cy="2374900"/>
                  <wp:effectExtent l="0" t="0" r="0" b="0"/>
                  <wp:docPr id="1" name="Рисунок 2" descr="Противодействие коррупции | Орск официальный сайт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Противодействие коррупции | Орск официальный сайт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58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Autospacing="1"/>
              <w:jc w:val="center"/>
              <w:outlineLvl w:val="1"/>
              <w:rPr>
                <w:rFonts w:ascii="Verdana" w:hAnsi="Verdana" w:eastAsia="Times New Roman" w:cs="Times New Roman"/>
                <w:color w:val="C2004E"/>
                <w:sz w:val="34"/>
                <w:szCs w:val="34"/>
              </w:rPr>
            </w:pPr>
            <w:r>
              <w:rPr>
                <w:rFonts w:eastAsia="Times New Roman" w:cs="Times New Roman" w:ascii="Verdana" w:hAnsi="Verdana"/>
                <w:color w:val="C2004E"/>
                <w:sz w:val="34"/>
                <w:szCs w:val="34"/>
              </w:rPr>
              <w:t>Ответственность за коррупционные правонарушения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333333"/>
                <w:sz w:val="18"/>
                <w:szCs w:val="18"/>
              </w:rPr>
      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(статья 13 Федерального закона от 25.12.2008 № 273-ФЗ «О противодействии коррупции»)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45"/>
              <w:jc w:val="center"/>
              <w:outlineLvl w:val="2"/>
              <w:rPr>
                <w:rFonts w:ascii="Verdana" w:hAnsi="Verdana" w:eastAsia="Times New Roman" w:cs="Times New Roman"/>
                <w:color w:val="C2004E"/>
                <w:sz w:val="26"/>
                <w:szCs w:val="26"/>
                <w:u w:val="single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C2004E"/>
                <w:sz w:val="26"/>
                <w:szCs w:val="26"/>
                <w:u w:val="single"/>
              </w:rPr>
              <w:t>Уголовная ответственность за преступления коррупционной направленности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333333"/>
                <w:sz w:val="18"/>
                <w:szCs w:val="18"/>
              </w:rPr>
              <w:t>К правонарушениям, обладающим коррупционными признаками, относятся следующие умышленные деяния, предусмотренные Уголовным Кодексом Российской Федерации: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Autospacing="1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мошенничество (статья 159);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присвоение или растрата (статья 160);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коммерческий подкуп (статья 204);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злоупотребление должностными полномочиями (статья 285);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нецелевое расходование бюджетных средств (статья 285.1);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нецелевое расходование средств государственных внебюджетных фондов (статья 285.2);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внесение в единые государственные реестры заведомо недостоверных сведений (статья 285.3);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превышение должностных полномочий (статья 286);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незаконное участие в предпринимательской деятельности (статья 289);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получение взятки (статья 290);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дача взятки (статья 291);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посредничество во взяточничестве (статья 291.1);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служебный подлог (статья 292);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провокация взятки либо коммерческого подкупа (статья 304);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подкуп или принуждение к даче показаний или уклонению от дачи показаний либо к неправильному переводу (статья 309).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Autospacing="1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штраф;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лишение права занимать определенные должности или заниматься определенной деятельностью;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обязательные работы;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исправительные работы;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принудительные работы;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ограничение свободы;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лишение свободы на определенный срок.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45"/>
              <w:jc w:val="center"/>
              <w:outlineLvl w:val="2"/>
              <w:rPr>
                <w:rFonts w:ascii="Verdana" w:hAnsi="Verdana" w:eastAsia="Times New Roman" w:cs="Times New Roman"/>
                <w:color w:val="C2004E"/>
                <w:sz w:val="26"/>
                <w:szCs w:val="26"/>
                <w:u w:val="single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C2004E"/>
                <w:sz w:val="26"/>
                <w:szCs w:val="26"/>
                <w:u w:val="single"/>
              </w:rPr>
              <w:t>Административная ответственность за коррупционные правонарушения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К основным составам административных правонарушений коррупционного характера, предусмотренных Кодексом Российской Федерации об административных правонарушениях можно отнести такие, как: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Autospacing="1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Мелкое хищение» (в случае совершения соответствующего действия путем присвоения или растраты) (статья 7.27);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 7.29);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Нарушение порядка определения начальной (максимальной)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статья (7.29. 1);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Отказ или уклонение единственного поставщика (исполнителя, подрядчика) от заключения государственного контракта по государственному оборонному заказу (статья 7.29.2);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Нарушение порядка осуществления закупок товаров, работ, услуг для обеспечения государственных и муниципальных нужд (статья 7.30);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Нарушение порядка заключения, изменения контракта (статья 7.32);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Ограничение конкуренции органами власти, органами местного самоуправления (статья 14.9);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Незаконное вознаграждение от имени юридического лица (статья 19.28);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40" w:beforeAutospacing="1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административный штраф;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административный арест;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40" w:before="0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дисквалификация.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45"/>
              <w:jc w:val="center"/>
              <w:outlineLvl w:val="2"/>
              <w:rPr>
                <w:rFonts w:ascii="Verdana" w:hAnsi="Verdana" w:eastAsia="Times New Roman" w:cs="Times New Roman"/>
                <w:color w:val="C2004E"/>
                <w:sz w:val="26"/>
                <w:szCs w:val="26"/>
                <w:u w:val="single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C2004E"/>
                <w:sz w:val="26"/>
                <w:szCs w:val="26"/>
                <w:u w:val="single"/>
              </w:rPr>
              <w:t>Дисциплинарная ответственность за коррупционные правонарушения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Статьей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spacing w:lineRule="auto" w:line="240" w:beforeAutospacing="1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замечание;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выговор;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spacing w:lineRule="auto" w:line="240" w:before="0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увольнение по соответствующим основаниям.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Муниципальный служащий подлежит </w:t>
            </w:r>
            <w:r>
              <w:rPr>
                <w:rFonts w:eastAsia="Times New Roman" w:cs="Times New Roman" w:ascii="Verdana" w:hAnsi="Verdana"/>
                <w:b/>
                <w:bCs/>
                <w:color w:val="333333"/>
                <w:sz w:val="18"/>
                <w:szCs w:val="18"/>
              </w:rPr>
              <w:t>увольнению с муниципальной службы в связи с утратой доверия</w:t>
            </w: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 за совершение правонарушения, установленного: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ст. 14.1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45"/>
              <w:jc w:val="center"/>
              <w:outlineLvl w:val="2"/>
              <w:rPr>
                <w:rFonts w:ascii="Verdana" w:hAnsi="Verdana" w:eastAsia="Times New Roman" w:cs="Times New Roman"/>
                <w:color w:val="C2004E"/>
                <w:sz w:val="26"/>
                <w:szCs w:val="26"/>
                <w:u w:val="single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C2004E"/>
                <w:sz w:val="26"/>
                <w:szCs w:val="26"/>
                <w:u w:val="single"/>
              </w:rPr>
              <w:t>Гражданско-правовая ответственность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Ответственность за вред, причиненный государственными органами, органами местного самоуправления, а также их должностными лицами: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hd w:val="clear" w:color="auto" w:fill="FFFFFF"/>
              <w:spacing w:lineRule="auto" w:line="240" w:beforeAutospacing="1" w:after="0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статья 16 Гражданского Кодекса Российской Федерации - 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hd w:val="clear" w:color="auto" w:fill="FFFFFF"/>
              <w:spacing w:lineRule="auto" w:line="240" w:before="0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статья 1069 Гражданского Кодекса Российской Федерации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Вред возмещается за счет соответственно казны Российской Федерации, казны субъекта Российской Федерации или казны муниципального образования. Пунктом 3.1. статьи 1081 Гражданского Кодекса Российской Федерации предусмотрено - Российская Федерация, субъект РФ или муниципальное образование в случае возмещения ими вреда, причиненного по основаниям, изложенным в статье 1069, имеют право регресса к лицу, в связи с незаконными действиями (бездействием) которого произведено указанное возмещение.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  <w:t>ст.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jc w:val="both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3730625" cy="2501265"/>
                  <wp:effectExtent l="0" t="0" r="0" b="0"/>
                  <wp:docPr id="2" name="Рисунок 3" descr="Противодействие корруп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Противодействие корруп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625" cy="250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570" w:type="dxa"/>
            <w:tcBorders>
              <w:top w:val="threeDEmboss" w:sz="24" w:space="0" w:color="C00000"/>
            </w:tcBorders>
            <w:vAlign w:val="center"/>
          </w:tcPr>
          <w:p>
            <w:pPr>
              <w:pStyle w:val="Normal"/>
              <w:widowControl w:val="false"/>
              <w:spacing w:lineRule="atLeast" w:line="375" w:before="0" w:after="200"/>
              <w:jc w:val="center"/>
              <w:rPr>
                <w:rFonts w:ascii="Segoe UI" w:hAnsi="Segoe UI" w:eastAsia="Times New Roman" w:cs="Segoe UI"/>
                <w:sz w:val="24"/>
                <w:szCs w:val="24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</w:rPr>
            </w:r>
          </w:p>
        </w:tc>
      </w:tr>
      <w:tr>
        <w:trPr/>
        <w:tc>
          <w:tcPr>
            <w:tcW w:w="14570" w:type="dxa"/>
            <w:tcBorders/>
            <w:tcMar>
              <w:top w:w="360" w:type="dxa"/>
            </w:tcMar>
            <w:vAlign w:val="center"/>
          </w:tcPr>
          <w:p>
            <w:pPr>
              <w:pStyle w:val="Normal"/>
              <w:widowControl w:val="false"/>
              <w:spacing w:lineRule="atLeast" w:line="375" w:before="0" w:after="200"/>
              <w:jc w:val="center"/>
              <w:rPr>
                <w:rFonts w:ascii="Segoe UI" w:hAnsi="Segoe UI" w:eastAsia="Times New Roman" w:cs="Segoe UI"/>
                <w:sz w:val="24"/>
                <w:szCs w:val="24"/>
              </w:rPr>
            </w:pPr>
            <w:r>
              <w:rPr>
                <w:rFonts w:eastAsia="Times New Roman" w:cs="Segoe UI" w:ascii="Segoe UI" w:hAnsi="Segoe UI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1707f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1707f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link w:val="40"/>
    <w:uiPriority w:val="9"/>
    <w:qFormat/>
    <w:rsid w:val="001707f7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isplayfont" w:customStyle="1">
    <w:name w:val="display-font"/>
    <w:basedOn w:val="DefaultParagraphFont"/>
    <w:qFormat/>
    <w:rsid w:val="00706ae5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707f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707f7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1707f7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707f7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1707f7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707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5</Pages>
  <Words>788</Words>
  <Characters>6048</Characters>
  <CharactersWithSpaces>6740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2021-11-17T12:48:00Z</dcterms:created>
  <dc:creator>minevalieva.ov</dc:creator>
  <dc:description/>
  <dc:language>ru-RU</dc:language>
  <cp:lastModifiedBy>Миневалиева Ольга Владиславовна</cp:lastModifiedBy>
  <cp:lastPrinted>2021-03-12T11:01:00Z</cp:lastPrinted>
  <dcterms:modified xsi:type="dcterms:W3CDTF">2021-11-17T12:48:00Z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